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7" w:lineRule="exact" w:before="62"/>
        <w:ind w:left="2163" w:right="2049" w:firstLine="0"/>
        <w:jc w:val="center"/>
        <w:rPr>
          <w:b/>
          <w:sz w:val="32"/>
        </w:rPr>
      </w:pPr>
      <w:bookmarkStart w:name="CME Pricing Tier – Non-Major Courses" w:id="1"/>
      <w:bookmarkEnd w:id="1"/>
      <w:r>
        <w:rPr/>
      </w:r>
      <w:bookmarkStart w:name="Application &amp; Certificate Fees for CME C" w:id="2"/>
      <w:bookmarkEnd w:id="2"/>
      <w:r>
        <w:rPr/>
      </w:r>
      <w:r>
        <w:rPr>
          <w:b/>
          <w:sz w:val="32"/>
        </w:rPr>
        <w:t>CME Pricing Tier – Non-Major Courses</w:t>
      </w:r>
    </w:p>
    <w:p>
      <w:pPr>
        <w:spacing w:line="229" w:lineRule="exact" w:before="0"/>
        <w:ind w:left="2163" w:right="2047" w:firstLine="0"/>
        <w:jc w:val="center"/>
        <w:rPr>
          <w:b/>
          <w:i/>
          <w:sz w:val="20"/>
        </w:rPr>
      </w:pPr>
      <w:r>
        <w:rPr>
          <w:b/>
          <w:i/>
          <w:color w:val="404040"/>
          <w:sz w:val="20"/>
        </w:rPr>
        <w:t>Application &amp; Certificate Fees for CME Category 1 Credit</w:t>
      </w:r>
    </w:p>
    <w:p>
      <w:pPr>
        <w:spacing w:line="240" w:lineRule="auto" w:before="1"/>
        <w:rPr>
          <w:b/>
          <w:i/>
          <w:sz w:val="20"/>
        </w:rPr>
      </w:pPr>
    </w:p>
    <w:p>
      <w:pPr>
        <w:pStyle w:val="Heading1"/>
        <w:spacing w:line="240" w:lineRule="auto" w:before="1" w:after="6"/>
      </w:pPr>
      <w:bookmarkStart w:name="UW Department Activities (live activitie" w:id="3"/>
      <w:bookmarkEnd w:id="3"/>
      <w:r>
        <w:rPr>
          <w:b w:val="0"/>
        </w:rPr>
      </w:r>
      <w:r>
        <w:rPr/>
        <w:t>UW Department Activities (live activities) for DS, DC, TS, TC Courses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2376"/>
      </w:tblGrid>
      <w:tr>
        <w:trPr>
          <w:trHeight w:val="225" w:hRule="atLeast"/>
        </w:trPr>
        <w:tc>
          <w:tcPr>
            <w:tcW w:w="1075" w:type="dxa"/>
          </w:tcPr>
          <w:p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$650</w:t>
            </w:r>
          </w:p>
        </w:tc>
        <w:tc>
          <w:tcPr>
            <w:tcW w:w="2376" w:type="dxa"/>
          </w:tcPr>
          <w:p>
            <w:pPr>
              <w:pStyle w:val="TableParagraph"/>
              <w:spacing w:line="205" w:lineRule="exact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8.0 hours or less</w:t>
            </w:r>
          </w:p>
        </w:tc>
      </w:tr>
      <w:tr>
        <w:trPr>
          <w:trHeight w:val="229" w:hRule="atLeast"/>
        </w:trPr>
        <w:tc>
          <w:tcPr>
            <w:tcW w:w="1075" w:type="dxa"/>
          </w:tcPr>
          <w:p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$800</w:t>
            </w:r>
          </w:p>
        </w:tc>
        <w:tc>
          <w:tcPr>
            <w:tcW w:w="2376" w:type="dxa"/>
          </w:tcPr>
          <w:p>
            <w:pPr>
              <w:pStyle w:val="TableParagraph"/>
              <w:spacing w:line="209" w:lineRule="exact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8.25-16.0 hours</w:t>
            </w:r>
          </w:p>
        </w:tc>
      </w:tr>
      <w:tr>
        <w:trPr>
          <w:trHeight w:val="230" w:hRule="atLeast"/>
        </w:trPr>
        <w:tc>
          <w:tcPr>
            <w:tcW w:w="107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$950</w:t>
            </w:r>
          </w:p>
        </w:tc>
        <w:tc>
          <w:tcPr>
            <w:tcW w:w="2376" w:type="dxa"/>
          </w:tcPr>
          <w:p>
            <w:pPr>
              <w:pStyle w:val="TableParagraph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16.25-64.0 hours</w:t>
            </w:r>
          </w:p>
        </w:tc>
      </w:tr>
      <w:tr>
        <w:trPr>
          <w:trHeight w:val="226" w:hRule="atLeast"/>
        </w:trPr>
        <w:tc>
          <w:tcPr>
            <w:tcW w:w="1075" w:type="dxa"/>
          </w:tcPr>
          <w:p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$1,200</w:t>
            </w:r>
          </w:p>
        </w:tc>
        <w:tc>
          <w:tcPr>
            <w:tcW w:w="2376" w:type="dxa"/>
          </w:tcPr>
          <w:p>
            <w:pPr>
              <w:pStyle w:val="TableParagraph"/>
              <w:spacing w:line="207" w:lineRule="exact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64.25 hours or more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76" w:lineRule="exact" w:before="163"/>
        <w:ind w:left="152" w:right="0" w:firstLine="0"/>
        <w:jc w:val="left"/>
        <w:rPr>
          <w:b/>
          <w:sz w:val="24"/>
        </w:rPr>
      </w:pPr>
      <w:bookmarkStart w:name="Jointly-Provided Activities (live activi" w:id="4"/>
      <w:bookmarkEnd w:id="4"/>
      <w:r>
        <w:rPr/>
      </w:r>
      <w:r>
        <w:rPr>
          <w:b/>
          <w:sz w:val="24"/>
        </w:rPr>
        <w:t>Jointly-Provided Activities (live activities produced with a non-UW entity)</w:t>
      </w:r>
    </w:p>
    <w:p>
      <w:pPr>
        <w:pStyle w:val="Heading2"/>
        <w:tabs>
          <w:tab w:pos="1591" w:val="left" w:leader="none"/>
        </w:tabs>
        <w:spacing w:line="229" w:lineRule="exact"/>
      </w:pPr>
      <w:r>
        <w:rPr/>
        <w:t>$2,500</w:t>
        <w:tab/>
        <w:t>8.0 hours or</w:t>
      </w:r>
      <w:r>
        <w:rPr>
          <w:spacing w:val="-12"/>
        </w:rPr>
        <w:t> </w:t>
      </w:r>
      <w:r>
        <w:rPr/>
        <w:t>less</w:t>
      </w:r>
    </w:p>
    <w:p>
      <w:pPr>
        <w:tabs>
          <w:tab w:pos="1591" w:val="left" w:leader="none"/>
        </w:tabs>
        <w:spacing w:line="229" w:lineRule="exact" w:before="0"/>
        <w:ind w:left="151" w:right="0" w:firstLine="0"/>
        <w:jc w:val="left"/>
        <w:rPr>
          <w:b/>
          <w:sz w:val="20"/>
        </w:rPr>
      </w:pPr>
      <w:r>
        <w:rPr>
          <w:b/>
          <w:sz w:val="20"/>
        </w:rPr>
        <w:t>$4,000</w:t>
        <w:tab/>
        <w:t>8.25-15.75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hours</w:t>
      </w:r>
    </w:p>
    <w:p>
      <w:pPr>
        <w:tabs>
          <w:tab w:pos="1591" w:val="left" w:leader="none"/>
        </w:tabs>
        <w:spacing w:before="0"/>
        <w:ind w:left="152" w:right="0" w:firstLine="0"/>
        <w:jc w:val="left"/>
        <w:rPr>
          <w:b/>
          <w:sz w:val="20"/>
        </w:rPr>
      </w:pPr>
      <w:r>
        <w:rPr>
          <w:b/>
          <w:sz w:val="20"/>
        </w:rPr>
        <w:t>$4,100+</w:t>
        <w:tab/>
        <w:t>16.0 hours or more (each hour above 16.0 incurs an additional $100 fee </w:t>
      </w:r>
      <w:r>
        <w:rPr>
          <w:b/>
          <w:sz w:val="20"/>
          <w:u w:val="thick"/>
        </w:rPr>
        <w:t>per</w:t>
      </w:r>
      <w:r>
        <w:rPr>
          <w:b/>
          <w:spacing w:val="-20"/>
          <w:sz w:val="20"/>
          <w:u w:val="thick"/>
        </w:rPr>
        <w:t> </w:t>
      </w:r>
      <w:r>
        <w:rPr>
          <w:b/>
          <w:sz w:val="20"/>
          <w:u w:val="thick"/>
        </w:rPr>
        <w:t>hour)</w:t>
      </w:r>
    </w:p>
    <w:p>
      <w:pPr>
        <w:spacing w:line="240" w:lineRule="auto" w:before="0"/>
        <w:rPr>
          <w:b/>
          <w:sz w:val="20"/>
        </w:rPr>
      </w:pPr>
    </w:p>
    <w:p>
      <w:pPr>
        <w:spacing w:line="276" w:lineRule="exact" w:before="232"/>
        <w:ind w:left="152" w:right="0" w:firstLine="0"/>
        <w:jc w:val="left"/>
        <w:rPr>
          <w:b/>
          <w:sz w:val="24"/>
        </w:rPr>
      </w:pPr>
      <w:r>
        <w:rPr>
          <w:b/>
          <w:sz w:val="24"/>
        </w:rPr>
        <w:t>Enduring Materials (2-year accreditation term)</w:t>
      </w:r>
    </w:p>
    <w:p>
      <w:pPr>
        <w:pStyle w:val="BodyText"/>
        <w:tabs>
          <w:tab w:pos="1591" w:val="left" w:leader="none"/>
        </w:tabs>
        <w:spacing w:line="230" w:lineRule="exact"/>
        <w:ind w:left="152"/>
      </w:pPr>
      <w:r>
        <w:rPr>
          <w:b/>
        </w:rPr>
        <w:t>$2,500</w:t>
        <w:tab/>
      </w:r>
      <w:r>
        <w:rPr/>
        <w:t>departmental enduring material (designed and produced by the</w:t>
      </w:r>
      <w:r>
        <w:rPr>
          <w:spacing w:val="-10"/>
        </w:rPr>
        <w:t> </w:t>
      </w:r>
      <w:r>
        <w:rPr/>
        <w:t>department)</w:t>
      </w:r>
    </w:p>
    <w:p>
      <w:pPr>
        <w:spacing w:line="240" w:lineRule="auto" w:before="1"/>
        <w:rPr>
          <w:sz w:val="24"/>
        </w:rPr>
      </w:pPr>
    </w:p>
    <w:p>
      <w:pPr>
        <w:pStyle w:val="Heading1"/>
        <w:spacing w:line="274" w:lineRule="exact"/>
      </w:pPr>
      <w:r>
        <w:rPr/>
        <w:t>“Other” Activities</w:t>
      </w:r>
    </w:p>
    <w:p>
      <w:pPr>
        <w:pStyle w:val="BodyText"/>
        <w:spacing w:line="228" w:lineRule="exact"/>
        <w:ind w:left="152"/>
      </w:pPr>
      <w:r>
        <w:rPr/>
        <w:t>Price Varies – contact CME for additional information.</w:t>
      </w:r>
    </w:p>
    <w:p>
      <w:pPr>
        <w:spacing w:line="240" w:lineRule="auto" w:before="2"/>
        <w:rPr>
          <w:sz w:val="24"/>
        </w:rPr>
      </w:pPr>
    </w:p>
    <w:p>
      <w:pPr>
        <w:pStyle w:val="Heading1"/>
      </w:pPr>
      <w:r>
        <w:rPr/>
        <w:t>Industry Support</w:t>
      </w:r>
    </w:p>
    <w:p>
      <w:pPr>
        <w:pStyle w:val="BodyText"/>
        <w:ind w:left="152"/>
      </w:pPr>
      <w:r>
        <w:rPr/>
        <w:t>All commercial support funding (education grants) received for CME accredited activities must be deposited through the CME Office and then transferred to a departmental budget. A 10% overhead is retained.</w:t>
      </w:r>
    </w:p>
    <w:p>
      <w:pPr>
        <w:spacing w:line="240" w:lineRule="auto" w:before="1"/>
        <w:rPr>
          <w:sz w:val="20"/>
        </w:rPr>
      </w:pPr>
    </w:p>
    <w:p>
      <w:pPr>
        <w:pStyle w:val="Heading1"/>
        <w:spacing w:before="1"/>
      </w:pPr>
      <w:r>
        <w:rPr/>
        <w:t>Application Fees</w:t>
      </w:r>
    </w:p>
    <w:p>
      <w:pPr>
        <w:pStyle w:val="BodyText"/>
        <w:ind w:left="152" w:right="87"/>
      </w:pPr>
      <w:r>
        <w:rPr/>
        <w:t>UWCME requires the application fee payment upon review. Upon submission of the CME application, requester agrees to pay the application fee in full. Application fees are non-refundable.</w:t>
      </w:r>
    </w:p>
    <w:p>
      <w:pPr>
        <w:spacing w:line="240" w:lineRule="auto" w:before="10"/>
        <w:rPr>
          <w:sz w:val="19"/>
        </w:rPr>
      </w:pPr>
    </w:p>
    <w:p>
      <w:pPr>
        <w:pStyle w:val="Heading1"/>
      </w:pPr>
      <w:r>
        <w:rPr/>
        <w:t>Certificate Fees</w:t>
      </w:r>
    </w:p>
    <w:p>
      <w:pPr>
        <w:spacing w:before="0"/>
        <w:ind w:left="151" w:right="378" w:firstLine="0"/>
        <w:jc w:val="left"/>
        <w:rPr>
          <w:sz w:val="20"/>
        </w:rPr>
      </w:pPr>
      <w:r>
        <w:rPr>
          <w:sz w:val="20"/>
        </w:rPr>
        <w:t>A </w:t>
      </w:r>
      <w:r>
        <w:rPr>
          <w:b/>
          <w:sz w:val="20"/>
        </w:rPr>
        <w:t>$25-65 per registrant per activity/series certificate processing fee </w:t>
      </w:r>
      <w:r>
        <w:rPr>
          <w:sz w:val="20"/>
        </w:rPr>
        <w:t>is charged by the CME Office for all departmental and jointly sponsored CME-accredited activities.</w:t>
      </w:r>
    </w:p>
    <w:p>
      <w:pPr>
        <w:spacing w:line="240" w:lineRule="auto" w:before="0"/>
        <w:rPr>
          <w:sz w:val="28"/>
        </w:rPr>
      </w:pPr>
    </w:p>
    <w:p>
      <w:pPr>
        <w:pStyle w:val="Heading2"/>
      </w:pPr>
      <w:r>
        <w:rPr>
          <w:u w:val="thick"/>
        </w:rPr>
        <w:t>Certificate Fees</w:t>
      </w:r>
    </w:p>
    <w:p>
      <w:pPr>
        <w:pStyle w:val="BodyText"/>
        <w:spacing w:before="1"/>
        <w:ind w:left="152"/>
      </w:pPr>
      <w:r>
        <w:rPr/>
        <w:t>(Number of Hours Claimed per activity/series)</w:t>
      </w:r>
    </w:p>
    <w:p>
      <w:pPr>
        <w:spacing w:line="240" w:lineRule="auto" w:before="5" w:after="1"/>
        <w:rPr>
          <w:sz w:val="20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2515"/>
      </w:tblGrid>
      <w:tr>
        <w:trPr>
          <w:trHeight w:val="226" w:hRule="atLeast"/>
        </w:trPr>
        <w:tc>
          <w:tcPr>
            <w:tcW w:w="936" w:type="dxa"/>
          </w:tcPr>
          <w:p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$25</w:t>
            </w:r>
          </w:p>
        </w:tc>
        <w:tc>
          <w:tcPr>
            <w:tcW w:w="2515" w:type="dxa"/>
          </w:tcPr>
          <w:p>
            <w:pPr>
              <w:pStyle w:val="TableParagraph"/>
              <w:spacing w:line="207" w:lineRule="exact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8.0 hours or less</w:t>
            </w:r>
          </w:p>
        </w:tc>
      </w:tr>
      <w:tr>
        <w:trPr>
          <w:trHeight w:val="230" w:hRule="atLeast"/>
        </w:trPr>
        <w:tc>
          <w:tcPr>
            <w:tcW w:w="93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$35</w:t>
            </w:r>
          </w:p>
        </w:tc>
        <w:tc>
          <w:tcPr>
            <w:tcW w:w="2515" w:type="dxa"/>
          </w:tcPr>
          <w:p>
            <w:pPr>
              <w:pStyle w:val="TableParagraph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8.25-16.0 hours</w:t>
            </w:r>
          </w:p>
        </w:tc>
      </w:tr>
      <w:tr>
        <w:trPr>
          <w:trHeight w:val="230" w:hRule="atLeast"/>
        </w:trPr>
        <w:tc>
          <w:tcPr>
            <w:tcW w:w="93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$45</w:t>
            </w:r>
          </w:p>
        </w:tc>
        <w:tc>
          <w:tcPr>
            <w:tcW w:w="2515" w:type="dxa"/>
          </w:tcPr>
          <w:p>
            <w:pPr>
              <w:pStyle w:val="TableParagraph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16.25-64.0 hours</w:t>
            </w:r>
          </w:p>
        </w:tc>
      </w:tr>
      <w:tr>
        <w:trPr>
          <w:trHeight w:val="230" w:hRule="atLeast"/>
        </w:trPr>
        <w:tc>
          <w:tcPr>
            <w:tcW w:w="93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$55</w:t>
            </w:r>
          </w:p>
        </w:tc>
        <w:tc>
          <w:tcPr>
            <w:tcW w:w="2515" w:type="dxa"/>
          </w:tcPr>
          <w:p>
            <w:pPr>
              <w:pStyle w:val="TableParagraph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64.25-99.75 hours</w:t>
            </w:r>
          </w:p>
        </w:tc>
      </w:tr>
      <w:tr>
        <w:trPr>
          <w:trHeight w:val="226" w:hRule="atLeast"/>
        </w:trPr>
        <w:tc>
          <w:tcPr>
            <w:tcW w:w="936" w:type="dxa"/>
          </w:tcPr>
          <w:p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$65</w:t>
            </w:r>
          </w:p>
        </w:tc>
        <w:tc>
          <w:tcPr>
            <w:tcW w:w="2515" w:type="dxa"/>
          </w:tcPr>
          <w:p>
            <w:pPr>
              <w:pStyle w:val="TableParagraph"/>
              <w:spacing w:line="207" w:lineRule="exact"/>
              <w:ind w:left="553"/>
              <w:rPr>
                <w:b/>
                <w:sz w:val="20"/>
              </w:rPr>
            </w:pPr>
            <w:r>
              <w:rPr>
                <w:b/>
                <w:sz w:val="20"/>
              </w:rPr>
              <w:t>100.0 hours or more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spacing w:before="130"/>
        <w:ind w:left="152"/>
        <w:rPr>
          <w:rFonts w:ascii="Times New Roman"/>
        </w:rPr>
      </w:pPr>
      <w:r>
        <w:rPr>
          <w:rFonts w:ascii="Times New Roman"/>
        </w:rPr>
        <w:t>Departmental, Joint, and Enduring Materials Application and Certificate Pricing Effective FY22 (01/01/2022)</w:t>
      </w:r>
    </w:p>
    <w:sectPr>
      <w:type w:val="continuous"/>
      <w:pgSz w:w="12240" w:h="15840"/>
      <w:pgMar w:top="600" w:bottom="280" w:left="10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76" w:lineRule="exact"/>
      <w:ind w:left="152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52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5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cwfisher</dc:creator>
  <dc:title>UW CME PRICING SCHEDULE</dc:title>
  <dcterms:created xsi:type="dcterms:W3CDTF">2022-05-12T19:46:30Z</dcterms:created>
  <dcterms:modified xsi:type="dcterms:W3CDTF">2022-05-12T19:46:30Z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2022-05-12T00:00:00Z</vt:filetime>
  </property>
</Properties>
</file>